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8A68" w14:textId="5CE15E7E" w:rsidR="004C147E" w:rsidRPr="004C147E" w:rsidRDefault="00CC78E9" w:rsidP="004C147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kern w:val="0"/>
        </w:rPr>
      </w:pPr>
      <w:r w:rsidRPr="004C147E">
        <w:rPr>
          <w:rFonts w:ascii="ArialMT" w:hAnsi="ArialMT" w:cs="ArialMT"/>
          <w:b/>
          <w:bCs/>
          <w:color w:val="000000"/>
          <w:kern w:val="0"/>
        </w:rPr>
        <w:t>SER-</w:t>
      </w:r>
      <w:proofErr w:type="spellStart"/>
      <w:r w:rsidRPr="004C147E">
        <w:rPr>
          <w:rFonts w:ascii="ArialMT" w:hAnsi="ArialMT" w:cs="ArialMT"/>
          <w:b/>
          <w:bCs/>
          <w:color w:val="000000"/>
          <w:kern w:val="0"/>
        </w:rPr>
        <w:t>Ni</w:t>
      </w:r>
      <w:r w:rsidRPr="004C147E">
        <w:rPr>
          <w:rFonts w:ascii="Arial" w:hAnsi="Arial" w:cs="Arial"/>
          <w:b/>
          <w:bCs/>
          <w:color w:val="000000"/>
          <w:kern w:val="0"/>
        </w:rPr>
        <w:t>ñ</w:t>
      </w:r>
      <w:r w:rsidRPr="004C147E">
        <w:rPr>
          <w:rFonts w:ascii="ArialMT" w:hAnsi="ArialMT" w:cs="ArialMT"/>
          <w:b/>
          <w:bCs/>
          <w:color w:val="000000"/>
          <w:kern w:val="0"/>
        </w:rPr>
        <w:t>os</w:t>
      </w:r>
      <w:proofErr w:type="spellEnd"/>
      <w:r w:rsidRPr="004C147E">
        <w:rPr>
          <w:rFonts w:ascii="ArialMT" w:hAnsi="ArialMT" w:cs="ArialMT"/>
          <w:b/>
          <w:bCs/>
          <w:color w:val="000000"/>
          <w:kern w:val="0"/>
        </w:rPr>
        <w:t xml:space="preserve"> Charter School</w:t>
      </w:r>
    </w:p>
    <w:p w14:paraId="071FE9E7" w14:textId="4830C6E4" w:rsidR="004C147E" w:rsidRPr="004C147E" w:rsidRDefault="004C147E" w:rsidP="004C147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kern w:val="0"/>
        </w:rPr>
      </w:pPr>
      <w:r w:rsidRPr="004C147E">
        <w:rPr>
          <w:rFonts w:ascii="ArialMT" w:hAnsi="ArialMT" w:cs="ArialMT"/>
          <w:b/>
          <w:bCs/>
          <w:color w:val="000000"/>
          <w:kern w:val="0"/>
        </w:rPr>
        <w:t>2024-203</w:t>
      </w:r>
      <w:r w:rsidR="00F8476B">
        <w:rPr>
          <w:rFonts w:ascii="ArialMT" w:hAnsi="ArialMT" w:cs="ArialMT"/>
          <w:b/>
          <w:bCs/>
          <w:color w:val="000000"/>
          <w:kern w:val="0"/>
        </w:rPr>
        <w:t>4</w:t>
      </w:r>
    </w:p>
    <w:p w14:paraId="0AA85483" w14:textId="0344180D" w:rsidR="00CC78E9" w:rsidRPr="004C147E" w:rsidRDefault="00CC78E9" w:rsidP="004C147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kern w:val="0"/>
        </w:rPr>
      </w:pPr>
      <w:r w:rsidRPr="004C147E">
        <w:rPr>
          <w:rFonts w:ascii="ArialMT" w:hAnsi="ArialMT" w:cs="ArialMT"/>
          <w:b/>
          <w:bCs/>
          <w:color w:val="000000"/>
          <w:kern w:val="0"/>
        </w:rPr>
        <w:t>College Career and Military Readiness (CCMR)</w:t>
      </w:r>
      <w:r w:rsidR="004C147E">
        <w:rPr>
          <w:rFonts w:ascii="ArialMT" w:hAnsi="ArialMT" w:cs="ArialMT"/>
          <w:b/>
          <w:bCs/>
          <w:color w:val="000000"/>
          <w:kern w:val="0"/>
        </w:rPr>
        <w:t xml:space="preserve"> Goals</w:t>
      </w:r>
    </w:p>
    <w:p w14:paraId="01EC1545" w14:textId="77777777" w:rsidR="004C147E" w:rsidRDefault="004C147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6ADA8F0" w14:textId="008C24D0" w:rsidR="00CC78E9" w:rsidRDefault="004C147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College Career and Military Readiness e</w:t>
      </w:r>
      <w:r w:rsidR="00CC78E9">
        <w:rPr>
          <w:rFonts w:ascii="ArialMT" w:hAnsi="ArialMT" w:cs="ArialMT"/>
          <w:color w:val="000000"/>
          <w:kern w:val="0"/>
        </w:rPr>
        <w:t xml:space="preserve">mphasize the importance of all students from </w:t>
      </w:r>
      <w:proofErr w:type="gramStart"/>
      <w:r w:rsidR="00CC78E9">
        <w:rPr>
          <w:rFonts w:ascii="ArialMT" w:hAnsi="ArialMT" w:cs="ArialMT"/>
          <w:color w:val="000000"/>
          <w:kern w:val="0"/>
        </w:rPr>
        <w:t>Kindergarten</w:t>
      </w:r>
      <w:proofErr w:type="gramEnd"/>
      <w:r w:rsidR="00CC78E9">
        <w:rPr>
          <w:rFonts w:ascii="ArialMT" w:hAnsi="ArialMT" w:cs="ArialMT"/>
          <w:color w:val="000000"/>
          <w:kern w:val="0"/>
        </w:rPr>
        <w:t xml:space="preserve"> to 12</w:t>
      </w:r>
      <w:r w:rsidR="00CC78E9" w:rsidRPr="00CC78E9">
        <w:rPr>
          <w:rFonts w:ascii="ArialMT" w:hAnsi="ArialMT" w:cs="ArialMT"/>
          <w:color w:val="000000"/>
          <w:kern w:val="0"/>
          <w:vertAlign w:val="superscript"/>
        </w:rPr>
        <w:t>th</w:t>
      </w:r>
      <w:r w:rsidR="00CC78E9">
        <w:rPr>
          <w:rFonts w:ascii="ArialMT" w:hAnsi="ArialMT" w:cs="ArialMT"/>
          <w:color w:val="000000"/>
          <w:kern w:val="0"/>
        </w:rPr>
        <w:t xml:space="preserve"> grade having exposure to a wide variety of careers.  </w:t>
      </w:r>
    </w:p>
    <w:p w14:paraId="4114F048" w14:textId="77777777" w:rsidR="00CC78E9" w:rsidRDefault="00CC78E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1062B46E" w14:textId="6FDE0F8C" w:rsidR="00CC78E9" w:rsidRPr="00DB3C6D" w:rsidRDefault="00CC78E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kern w:val="0"/>
        </w:rPr>
      </w:pPr>
      <w:r w:rsidRPr="00CC78E9">
        <w:rPr>
          <w:rFonts w:ascii="ArialMT" w:hAnsi="ArialMT" w:cs="ArialMT"/>
          <w:b/>
          <w:bCs/>
          <w:color w:val="000000"/>
          <w:kern w:val="0"/>
        </w:rPr>
        <w:t>Elementary</w:t>
      </w:r>
      <w:r w:rsidR="00DB3C6D">
        <w:rPr>
          <w:rFonts w:ascii="ArialMT" w:hAnsi="ArialMT" w:cs="ArialMT"/>
          <w:b/>
          <w:bCs/>
          <w:color w:val="000000"/>
          <w:kern w:val="0"/>
        </w:rPr>
        <w:t xml:space="preserve"> - </w:t>
      </w:r>
      <w:r>
        <w:rPr>
          <w:rFonts w:ascii="ArialMT" w:hAnsi="ArialMT" w:cs="ArialMT"/>
          <w:color w:val="000000"/>
          <w:kern w:val="0"/>
        </w:rPr>
        <w:t>In elementary students explore different careers through Career Role-playing, guest speakers and career/college day.</w:t>
      </w:r>
    </w:p>
    <w:p w14:paraId="5854CD5F" w14:textId="5CA04413" w:rsidR="00CC78E9" w:rsidRDefault="00DB3C6D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 w:rsidRPr="00DB3C6D">
        <w:rPr>
          <w:rFonts w:ascii="ArialMT" w:hAnsi="ArialMT" w:cs="ArialMT"/>
          <w:b/>
          <w:bCs/>
          <w:color w:val="000000"/>
          <w:kern w:val="0"/>
        </w:rPr>
        <w:t>Middle/High</w:t>
      </w:r>
      <w:r>
        <w:rPr>
          <w:rFonts w:ascii="ArialMT" w:hAnsi="ArialMT" w:cs="ArialMT"/>
          <w:color w:val="000000"/>
          <w:kern w:val="0"/>
        </w:rPr>
        <w:t xml:space="preserve"> - I</w:t>
      </w:r>
      <w:r w:rsidR="00CC78E9">
        <w:rPr>
          <w:rFonts w:ascii="ArialMT" w:hAnsi="ArialMT" w:cs="ArialMT"/>
          <w:color w:val="000000"/>
          <w:kern w:val="0"/>
        </w:rPr>
        <w:t xml:space="preserve">n middle and high school students will narrow down their career </w:t>
      </w:r>
      <w:r>
        <w:rPr>
          <w:rFonts w:ascii="ArialMT" w:hAnsi="ArialMT" w:cs="ArialMT"/>
          <w:color w:val="000000"/>
          <w:kern w:val="0"/>
        </w:rPr>
        <w:t>aspirations and select a pathway or endorsement that will provide them with a sequence of courses to prepare them for their future career and college major.</w:t>
      </w:r>
    </w:p>
    <w:p w14:paraId="10C7BCCD" w14:textId="77777777" w:rsidR="00CC78E9" w:rsidRDefault="00CC78E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529475A8" w14:textId="13A82812" w:rsidR="00CC78E9" w:rsidRPr="004C147E" w:rsidRDefault="00DB3C6D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kern w:val="0"/>
        </w:rPr>
      </w:pPr>
      <w:r w:rsidRPr="004C147E">
        <w:rPr>
          <w:rFonts w:ascii="ArialMT" w:hAnsi="ArialMT" w:cs="ArialMT"/>
          <w:b/>
          <w:bCs/>
          <w:color w:val="000000"/>
          <w:kern w:val="0"/>
        </w:rPr>
        <w:t>Readiness Indicators:</w:t>
      </w:r>
    </w:p>
    <w:p w14:paraId="27E283E6" w14:textId="7E1DC78A" w:rsidR="00DB3C6D" w:rsidRDefault="00DB3C6D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Meet the criteria of 3 on AP examinations or 4 on IB examinations</w:t>
      </w:r>
    </w:p>
    <w:p w14:paraId="6D263010" w14:textId="561C7796" w:rsidR="00DB3C6D" w:rsidRDefault="00DB3C6D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Meet TSIA criteria via SAT, ACT, TSIA2 or College Prep Courses in ELA and Math</w:t>
      </w:r>
    </w:p>
    <w:p w14:paraId="21AC3E3F" w14:textId="173F0EE8" w:rsidR="00DB3C6D" w:rsidRDefault="00DB3C6D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Complete a dual credit course (9 hours in any subject or 3 hours ELA/Math</w:t>
      </w:r>
    </w:p>
    <w:p w14:paraId="46DBBDCC" w14:textId="547245BE" w:rsidR="00DB3C6D" w:rsidRDefault="004C147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proofErr w:type="gramStart"/>
      <w:r>
        <w:rPr>
          <w:rFonts w:ascii="ArialMT" w:hAnsi="ArialMT" w:cs="ArialMT"/>
          <w:color w:val="000000"/>
          <w:kern w:val="0"/>
        </w:rPr>
        <w:t>Earn</w:t>
      </w:r>
      <w:proofErr w:type="gramEnd"/>
      <w:r>
        <w:rPr>
          <w:rFonts w:ascii="ArialMT" w:hAnsi="ArialMT" w:cs="ArialMT"/>
          <w:color w:val="000000"/>
          <w:kern w:val="0"/>
        </w:rPr>
        <w:t xml:space="preserve"> an </w:t>
      </w:r>
      <w:proofErr w:type="gramStart"/>
      <w:r w:rsidR="00DD270B">
        <w:rPr>
          <w:rFonts w:ascii="ArialMT" w:hAnsi="ArialMT" w:cs="ArialMT"/>
          <w:color w:val="000000"/>
          <w:kern w:val="0"/>
        </w:rPr>
        <w:t>A</w:t>
      </w:r>
      <w:r>
        <w:rPr>
          <w:rFonts w:ascii="ArialMT" w:hAnsi="ArialMT" w:cs="ArialMT"/>
          <w:color w:val="000000"/>
          <w:kern w:val="0"/>
        </w:rPr>
        <w:t>ssociate</w:t>
      </w:r>
      <w:proofErr w:type="gramEnd"/>
      <w:r>
        <w:rPr>
          <w:rFonts w:ascii="ArialMT" w:hAnsi="ArialMT" w:cs="ArialMT"/>
          <w:color w:val="000000"/>
          <w:kern w:val="0"/>
        </w:rPr>
        <w:t xml:space="preserve"> degree</w:t>
      </w:r>
    </w:p>
    <w:p w14:paraId="5064B838" w14:textId="4BDDB689" w:rsidR="004C147E" w:rsidRDefault="004C147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Complete and </w:t>
      </w:r>
      <w:proofErr w:type="spellStart"/>
      <w:r>
        <w:rPr>
          <w:rFonts w:ascii="ArialMT" w:hAnsi="ArialMT" w:cs="ArialMT"/>
          <w:color w:val="000000"/>
          <w:kern w:val="0"/>
        </w:rPr>
        <w:t>OnRamp</w:t>
      </w:r>
      <w:proofErr w:type="spellEnd"/>
      <w:r>
        <w:rPr>
          <w:rFonts w:ascii="ArialMT" w:hAnsi="ArialMT" w:cs="ArialMT"/>
          <w:color w:val="000000"/>
          <w:kern w:val="0"/>
        </w:rPr>
        <w:t xml:space="preserve"> course</w:t>
      </w:r>
    </w:p>
    <w:p w14:paraId="75F6CB83" w14:textId="45437724" w:rsidR="004C147E" w:rsidRDefault="004C147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proofErr w:type="gramStart"/>
      <w:r>
        <w:rPr>
          <w:rFonts w:ascii="ArialMT" w:hAnsi="ArialMT" w:cs="ArialMT"/>
          <w:color w:val="000000"/>
          <w:kern w:val="0"/>
        </w:rPr>
        <w:t>Earn</w:t>
      </w:r>
      <w:proofErr w:type="gramEnd"/>
      <w:r>
        <w:rPr>
          <w:rFonts w:ascii="ArialMT" w:hAnsi="ArialMT" w:cs="ArialMT"/>
          <w:color w:val="000000"/>
          <w:kern w:val="0"/>
        </w:rPr>
        <w:t xml:space="preserve"> a Level I or Level II certificate</w:t>
      </w:r>
    </w:p>
    <w:p w14:paraId="1D0C3E3F" w14:textId="1304EE21" w:rsidR="004C147E" w:rsidRDefault="004C147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Earn and industry-based certificate (IBC)</w:t>
      </w:r>
    </w:p>
    <w:p w14:paraId="330ABC5F" w14:textId="404D8C37" w:rsidR="004C147E" w:rsidRDefault="004C147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Complete a program of study in IBC</w:t>
      </w:r>
    </w:p>
    <w:p w14:paraId="45842531" w14:textId="157AB4ED" w:rsidR="004C147E" w:rsidRDefault="004C147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Complete a program of study in CTE</w:t>
      </w:r>
    </w:p>
    <w:p w14:paraId="04A7283F" w14:textId="50F9AD50" w:rsidR="004C147E" w:rsidRDefault="004C147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Graduate with completed IEP and workforce readiness</w:t>
      </w:r>
    </w:p>
    <w:p w14:paraId="63CCEAEB" w14:textId="314E5CA5" w:rsidR="004C147E" w:rsidRDefault="004C147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Enlist in one of the armed forces</w:t>
      </w:r>
    </w:p>
    <w:p w14:paraId="2984948E" w14:textId="77777777" w:rsidR="009A3A9E" w:rsidRDefault="009A3A9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C60E84E" w14:textId="0F941287" w:rsidR="009A3A9E" w:rsidRPr="009A3A9E" w:rsidRDefault="009A3A9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kern w:val="0"/>
        </w:rPr>
      </w:pPr>
      <w:r w:rsidRPr="009A3A9E">
        <w:rPr>
          <w:rFonts w:ascii="ArialMT" w:hAnsi="ArialMT" w:cs="ArialMT"/>
          <w:b/>
          <w:bCs/>
          <w:color w:val="000000"/>
          <w:kern w:val="0"/>
        </w:rPr>
        <w:t>College Readiness Testing</w:t>
      </w:r>
    </w:p>
    <w:p w14:paraId="3CC8535A" w14:textId="600CCDCF" w:rsidR="004C147E" w:rsidRDefault="009A3A9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SER-Ninos remains committed to providing every opportunity for its students to be successful in their post-secondary education.</w:t>
      </w:r>
    </w:p>
    <w:p w14:paraId="5B222937" w14:textId="77777777" w:rsid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FB01D76" w14:textId="0BD0992F" w:rsidR="00E934F9" w:rsidRP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kern w:val="0"/>
        </w:rPr>
      </w:pPr>
      <w:r w:rsidRPr="00E934F9">
        <w:rPr>
          <w:rFonts w:ascii="ArialMT" w:hAnsi="ArialMT" w:cs="ArialMT"/>
          <w:b/>
          <w:bCs/>
          <w:color w:val="000000"/>
          <w:kern w:val="0"/>
        </w:rPr>
        <w:t>SAT</w:t>
      </w:r>
    </w:p>
    <w:p w14:paraId="2F831A3D" w14:textId="403B8CA4" w:rsid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Students take the SAT for university admission.</w:t>
      </w:r>
    </w:p>
    <w:p w14:paraId="13311EE8" w14:textId="77777777" w:rsid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D920F9B" w14:textId="6EE3400F" w:rsid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9</w:t>
      </w:r>
      <w:r w:rsidRPr="00E934F9">
        <w:rPr>
          <w:rFonts w:ascii="ArialMT" w:hAnsi="ArialMT" w:cs="ArialMT"/>
          <w:color w:val="000000"/>
          <w:kern w:val="0"/>
          <w:vertAlign w:val="superscript"/>
        </w:rPr>
        <w:t>th</w:t>
      </w:r>
      <w:r>
        <w:rPr>
          <w:rFonts w:ascii="ArialMT" w:hAnsi="ArialMT" w:cs="ArialMT"/>
          <w:color w:val="000000"/>
          <w:kern w:val="0"/>
        </w:rPr>
        <w:t>, and 10</w:t>
      </w:r>
      <w:r w:rsidRPr="00E934F9">
        <w:rPr>
          <w:rFonts w:ascii="ArialMT" w:hAnsi="ArialMT" w:cs="ArialMT"/>
          <w:color w:val="000000"/>
          <w:kern w:val="0"/>
          <w:vertAlign w:val="superscript"/>
        </w:rPr>
        <w:t>th</w:t>
      </w:r>
      <w:r>
        <w:rPr>
          <w:rFonts w:ascii="ArialMT" w:hAnsi="ArialMT" w:cs="ArialMT"/>
          <w:color w:val="000000"/>
          <w:kern w:val="0"/>
        </w:rPr>
        <w:t xml:space="preserve"> graders have an opportunity to take the PSAT.</w:t>
      </w:r>
    </w:p>
    <w:p w14:paraId="4508516B" w14:textId="7D6CEDBD" w:rsid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11</w:t>
      </w:r>
      <w:r w:rsidRPr="00E934F9">
        <w:rPr>
          <w:rFonts w:ascii="ArialMT" w:hAnsi="ArialMT" w:cs="ArialMT"/>
          <w:color w:val="000000"/>
          <w:kern w:val="0"/>
          <w:vertAlign w:val="superscript"/>
        </w:rPr>
        <w:t>th</w:t>
      </w:r>
      <w:r>
        <w:rPr>
          <w:rFonts w:ascii="ArialMT" w:hAnsi="ArialMT" w:cs="ArialMT"/>
          <w:color w:val="000000"/>
          <w:kern w:val="0"/>
        </w:rPr>
        <w:t xml:space="preserve"> and 12</w:t>
      </w:r>
      <w:r w:rsidRPr="00E934F9">
        <w:rPr>
          <w:rFonts w:ascii="ArialMT" w:hAnsi="ArialMT" w:cs="ArialMT"/>
          <w:color w:val="000000"/>
          <w:kern w:val="0"/>
          <w:vertAlign w:val="superscript"/>
        </w:rPr>
        <w:t>th</w:t>
      </w:r>
      <w:r>
        <w:rPr>
          <w:rFonts w:ascii="ArialMT" w:hAnsi="ArialMT" w:cs="ArialMT"/>
          <w:color w:val="000000"/>
          <w:kern w:val="0"/>
        </w:rPr>
        <w:t xml:space="preserve"> graders take the SAT</w:t>
      </w:r>
    </w:p>
    <w:p w14:paraId="5393F257" w14:textId="77777777" w:rsid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240FDA1" w14:textId="0EC4E76A" w:rsidR="00E934F9" w:rsidRP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kern w:val="0"/>
        </w:rPr>
      </w:pPr>
      <w:r w:rsidRPr="00E934F9">
        <w:rPr>
          <w:rFonts w:ascii="ArialMT" w:hAnsi="ArialMT" w:cs="ArialMT"/>
          <w:b/>
          <w:bCs/>
          <w:color w:val="000000"/>
          <w:kern w:val="0"/>
        </w:rPr>
        <w:t>Texas Success Initiative Assessment 2.0 (TSIA 2)</w:t>
      </w:r>
    </w:p>
    <w:p w14:paraId="00FCCA90" w14:textId="15C36FC0" w:rsid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TSIA 2 is a state mandated assessment used in Texas public colleges and universities to determine college readiness in English Language Arts and Reading and mathematics.</w:t>
      </w:r>
    </w:p>
    <w:p w14:paraId="2B499BDA" w14:textId="5584CBA4" w:rsid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9</w:t>
      </w:r>
      <w:r w:rsidRPr="00E934F9">
        <w:rPr>
          <w:rFonts w:ascii="ArialMT" w:hAnsi="ArialMT" w:cs="ArialMT"/>
          <w:color w:val="000000"/>
          <w:kern w:val="0"/>
          <w:vertAlign w:val="superscript"/>
        </w:rPr>
        <w:t>th</w:t>
      </w:r>
      <w:r>
        <w:rPr>
          <w:rFonts w:ascii="ArialMT" w:hAnsi="ArialMT" w:cs="ArialMT"/>
          <w:color w:val="000000"/>
          <w:kern w:val="0"/>
        </w:rPr>
        <w:t xml:space="preserve"> graders wanting to enroll in dual credit take the TSIA 2.</w:t>
      </w:r>
    </w:p>
    <w:p w14:paraId="292B6060" w14:textId="77777777" w:rsid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303E247" w14:textId="0AA58923" w:rsidR="00E934F9" w:rsidRP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kern w:val="0"/>
        </w:rPr>
      </w:pPr>
      <w:r w:rsidRPr="00E934F9">
        <w:rPr>
          <w:rFonts w:ascii="ArialMT" w:hAnsi="ArialMT" w:cs="ArialMT"/>
          <w:b/>
          <w:bCs/>
          <w:color w:val="000000"/>
          <w:kern w:val="0"/>
        </w:rPr>
        <w:t>Armed Services Vocational Aptitude Battery (ASVAB)</w:t>
      </w:r>
    </w:p>
    <w:p w14:paraId="54B1D9AF" w14:textId="19047030" w:rsidR="00525160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The ASVAB is designed to measure aptitude</w:t>
      </w:r>
      <w:r w:rsidR="00525160">
        <w:rPr>
          <w:rFonts w:ascii="ArialMT" w:hAnsi="ArialMT" w:cs="ArialMT"/>
          <w:color w:val="000000"/>
          <w:kern w:val="0"/>
        </w:rPr>
        <w:t>s, knowledge and skills in various technical and academic areas to predict their potential for success in military training and specialized jobs.  Students can take the test in the Spring semester.</w:t>
      </w:r>
    </w:p>
    <w:p w14:paraId="63BAC0A8" w14:textId="77777777" w:rsidR="00525160" w:rsidRDefault="00525160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0C990FCA" w14:textId="77777777" w:rsidR="00525160" w:rsidRDefault="00525160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5C264064" w14:textId="77777777" w:rsid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ECEAF2F" w14:textId="77777777" w:rsidR="00E934F9" w:rsidRDefault="00E934F9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58E5EE4" w14:textId="77777777" w:rsidR="004C147E" w:rsidRDefault="004C147E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2D908E5" w14:textId="40AC6C14" w:rsidR="009E3AD3" w:rsidRDefault="00525160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lastRenderedPageBreak/>
        <w:t>20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2</w:t>
      </w:r>
      <w:r w:rsidR="00CC78E9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4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-</w:t>
      </w: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20</w:t>
      </w:r>
      <w:r w:rsidR="00CC78E9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25</w:t>
      </w: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College, Career, or Military Readiness percentage: </w:t>
      </w:r>
      <w:r w:rsidR="00DB3C6D">
        <w:rPr>
          <w:rFonts w:ascii="ArialMT" w:hAnsi="ArialMT" w:cs="ArialMT"/>
          <w:color w:val="000000"/>
          <w:kern w:val="0"/>
          <w:sz w:val="24"/>
          <w:szCs w:val="24"/>
        </w:rPr>
        <w:t>100</w:t>
      </w:r>
      <w:r w:rsidR="009E3AD3">
        <w:rPr>
          <w:rFonts w:ascii="ArialMT" w:hAnsi="ArialMT" w:cs="ArialMT"/>
          <w:color w:val="000000"/>
          <w:kern w:val="0"/>
          <w:sz w:val="24"/>
          <w:szCs w:val="24"/>
        </w:rPr>
        <w:t xml:space="preserve">% of </w:t>
      </w:r>
      <w:r>
        <w:rPr>
          <w:rFonts w:ascii="ArialMT" w:hAnsi="ArialMT" w:cs="ArialMT"/>
          <w:color w:val="000000"/>
          <w:kern w:val="0"/>
          <w:sz w:val="24"/>
          <w:szCs w:val="24"/>
        </w:rPr>
        <w:t>juniors</w:t>
      </w:r>
      <w:r w:rsidR="009E3AD3">
        <w:rPr>
          <w:rFonts w:ascii="ArialMT" w:hAnsi="ArialMT" w:cs="ArialMT"/>
          <w:color w:val="000000"/>
          <w:kern w:val="0"/>
          <w:sz w:val="24"/>
          <w:szCs w:val="24"/>
        </w:rPr>
        <w:t xml:space="preserve"> </w:t>
      </w:r>
      <w:r w:rsidR="00DB3C6D">
        <w:rPr>
          <w:rFonts w:ascii="ArialMT" w:hAnsi="ArialMT" w:cs="ArialMT"/>
          <w:color w:val="000000"/>
          <w:kern w:val="0"/>
          <w:sz w:val="24"/>
          <w:szCs w:val="24"/>
        </w:rPr>
        <w:t>participated in the TSIA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</w:t>
      </w:r>
      <w:r w:rsidR="00DB3C6D">
        <w:rPr>
          <w:rFonts w:ascii="ArialMT" w:hAnsi="ArialMT" w:cs="ArialMT"/>
          <w:color w:val="000000"/>
          <w:kern w:val="0"/>
          <w:sz w:val="24"/>
          <w:szCs w:val="24"/>
        </w:rPr>
        <w:t xml:space="preserve">2 </w:t>
      </w:r>
      <w:r>
        <w:rPr>
          <w:rFonts w:ascii="ArialMT" w:hAnsi="ArialMT" w:cs="ArialMT"/>
          <w:color w:val="000000"/>
          <w:kern w:val="0"/>
          <w:sz w:val="24"/>
          <w:szCs w:val="24"/>
        </w:rPr>
        <w:t>assessment</w:t>
      </w:r>
      <w:r w:rsidR="00DB3C6D">
        <w:rPr>
          <w:rFonts w:ascii="ArialMT" w:hAnsi="ArialMT" w:cs="ArialMT"/>
          <w:color w:val="000000"/>
          <w:kern w:val="0"/>
          <w:sz w:val="24"/>
          <w:szCs w:val="24"/>
        </w:rPr>
        <w:t xml:space="preserve">.  </w:t>
      </w:r>
      <w:r>
        <w:rPr>
          <w:rFonts w:ascii="ArialMT" w:hAnsi="ArialMT" w:cs="ArialMT"/>
          <w:color w:val="000000"/>
          <w:kern w:val="0"/>
          <w:sz w:val="24"/>
          <w:szCs w:val="24"/>
        </w:rPr>
        <w:t>7</w:t>
      </w:r>
      <w:r w:rsidR="00DB3C6D">
        <w:rPr>
          <w:rFonts w:ascii="ArialMT" w:hAnsi="ArialMT" w:cs="ArialMT"/>
          <w:color w:val="000000"/>
          <w:kern w:val="0"/>
          <w:sz w:val="24"/>
          <w:szCs w:val="24"/>
        </w:rPr>
        <w:t xml:space="preserve">% </w:t>
      </w:r>
      <w:r w:rsidR="009E3AD3">
        <w:rPr>
          <w:rFonts w:ascii="ArialMT" w:hAnsi="ArialMT" w:cs="ArialMT"/>
          <w:color w:val="000000"/>
          <w:kern w:val="0"/>
          <w:sz w:val="24"/>
          <w:szCs w:val="24"/>
        </w:rPr>
        <w:t xml:space="preserve">met </w:t>
      </w:r>
      <w:r w:rsidR="00DB3C6D">
        <w:rPr>
          <w:rFonts w:ascii="ArialMT" w:hAnsi="ArialMT" w:cs="ArialMT"/>
          <w:color w:val="000000"/>
          <w:kern w:val="0"/>
          <w:sz w:val="24"/>
          <w:szCs w:val="24"/>
        </w:rPr>
        <w:t>the criteria and participated in college classes.</w:t>
      </w:r>
    </w:p>
    <w:p w14:paraId="16F0F8F9" w14:textId="2099BFF3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</w:p>
    <w:p w14:paraId="3F6BC5B6" w14:textId="5AB969BC" w:rsidR="009E3AD3" w:rsidRDefault="00525160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20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2</w:t>
      </w: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5-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-</w:t>
      </w: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20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2</w:t>
      </w: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6</w:t>
      </w:r>
      <w:proofErr w:type="gramEnd"/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TSIA2 College Entrance Exam Goal: </w:t>
      </w:r>
      <w:r w:rsidR="009E3AD3">
        <w:rPr>
          <w:rFonts w:ascii="ArialMT" w:hAnsi="ArialMT" w:cs="ArialMT"/>
          <w:color w:val="000000"/>
          <w:kern w:val="0"/>
          <w:sz w:val="24"/>
          <w:szCs w:val="24"/>
        </w:rPr>
        <w:t>16% of seniors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meet the criteria and participate in college classes </w:t>
      </w:r>
    </w:p>
    <w:p w14:paraId="0A8A8E95" w14:textId="77777777" w:rsidR="00D82B0D" w:rsidRDefault="00D82B0D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14:paraId="65D61D0D" w14:textId="1461E493" w:rsidR="009E3AD3" w:rsidRDefault="00525160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2025-2026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16% of juniors and seniors will participate in classes with 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Houston Community College</w:t>
      </w: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</w:t>
      </w:r>
      <w:proofErr w:type="gramStart"/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- 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dual</w:t>
      </w:r>
      <w:proofErr w:type="gramEnd"/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credit</w:t>
      </w:r>
    </w:p>
    <w:p w14:paraId="2DE030F9" w14:textId="77777777" w:rsidR="00D82B0D" w:rsidRDefault="00D82B0D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14:paraId="6225696A" w14:textId="008C9FEE" w:rsidR="009E3AD3" w:rsidRDefault="00D82B0D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2024-2025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Military enlistment: </w:t>
      </w: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0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% </w:t>
      </w:r>
    </w:p>
    <w:p w14:paraId="72298424" w14:textId="77777777" w:rsidR="00D82B0D" w:rsidRDefault="00D82B0D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14:paraId="504A04B6" w14:textId="0405EB88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Ten-Year CCMR Outcome </w:t>
      </w:r>
      <w:proofErr w:type="gramStart"/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Goal </w:t>
      </w:r>
      <w:r>
        <w:rPr>
          <w:rFonts w:ascii="ArialMT" w:hAnsi="ArialMT" w:cs="ArialMT"/>
          <w:color w:val="000000"/>
          <w:kern w:val="0"/>
          <w:sz w:val="24"/>
          <w:szCs w:val="24"/>
        </w:rPr>
        <w:t>:</w:t>
      </w:r>
      <w:proofErr w:type="gramEnd"/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The percentage of graduates that meet at least one</w:t>
      </w:r>
    </w:p>
    <w:p w14:paraId="42A3A7F6" w14:textId="2BA8D152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criteria for College, Career, or Military Readiness will increase from </w:t>
      </w:r>
      <w:r w:rsidR="00D82B0D">
        <w:rPr>
          <w:rFonts w:ascii="ArialMT" w:hAnsi="ArialMT" w:cs="ArialMT"/>
          <w:color w:val="000000"/>
          <w:kern w:val="0"/>
          <w:sz w:val="24"/>
          <w:szCs w:val="24"/>
        </w:rPr>
        <w:t>16</w:t>
      </w:r>
      <w:r>
        <w:rPr>
          <w:rFonts w:ascii="ArialMT" w:hAnsi="ArialMT" w:cs="ArialMT"/>
          <w:color w:val="000000"/>
          <w:kern w:val="0"/>
          <w:sz w:val="24"/>
          <w:szCs w:val="24"/>
        </w:rPr>
        <w:t>% to 80% by</w:t>
      </w:r>
    </w:p>
    <w:p w14:paraId="1B6F6D26" w14:textId="77777777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August 2032.</w:t>
      </w:r>
    </w:p>
    <w:p w14:paraId="043585FD" w14:textId="77777777" w:rsidR="00D82B0D" w:rsidRDefault="00D82B0D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14:paraId="1CBB0A0C" w14:textId="0672FBE0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Five-Year CCMR Progress </w:t>
      </w:r>
      <w:proofErr w:type="gramStart"/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Measure </w:t>
      </w:r>
      <w:r>
        <w:rPr>
          <w:rFonts w:ascii="ArialMT" w:hAnsi="ArialMT" w:cs="ArialMT"/>
          <w:color w:val="000000"/>
          <w:kern w:val="0"/>
          <w:sz w:val="24"/>
          <w:szCs w:val="24"/>
        </w:rPr>
        <w:t>:</w:t>
      </w:r>
      <w:proofErr w:type="gramEnd"/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The percentage of graduates that meet the</w:t>
      </w:r>
    </w:p>
    <w:p w14:paraId="4E7D2D86" w14:textId="7A45FE32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criteria for CCMR will increase from 43% to 60% by August 202</w:t>
      </w:r>
      <w:r w:rsidR="00D82B0D">
        <w:rPr>
          <w:rFonts w:ascii="ArialMT" w:hAnsi="ArialMT" w:cs="ArialMT"/>
          <w:color w:val="000000"/>
          <w:kern w:val="0"/>
          <w:sz w:val="24"/>
          <w:szCs w:val="24"/>
        </w:rPr>
        <w:t>9</w:t>
      </w:r>
    </w:p>
    <w:p w14:paraId="450C296A" w14:textId="77777777" w:rsidR="00D82B0D" w:rsidRDefault="00D82B0D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14:paraId="33484C3E" w14:textId="0CC38D30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Ten-Year CCMR TSIA 2 Outcome </w:t>
      </w:r>
      <w:proofErr w:type="gramStart"/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Goal </w:t>
      </w:r>
      <w:r>
        <w:rPr>
          <w:rFonts w:ascii="ArialMT" w:hAnsi="ArialMT" w:cs="ArialMT"/>
          <w:color w:val="000000"/>
          <w:kern w:val="0"/>
          <w:sz w:val="24"/>
          <w:szCs w:val="24"/>
        </w:rPr>
        <w:t>:</w:t>
      </w:r>
      <w:proofErr w:type="gramEnd"/>
    </w:p>
    <w:p w14:paraId="77A1A2D6" w14:textId="77777777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Increase the number of students meeting TSI criteria in both reading and math from</w:t>
      </w:r>
    </w:p>
    <w:p w14:paraId="0EF0F46A" w14:textId="3C4263A1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15 % to 30% by August 203</w:t>
      </w:r>
      <w:r w:rsidR="00D82B0D">
        <w:rPr>
          <w:rFonts w:ascii="ArialMT" w:hAnsi="ArialMT" w:cs="ArialMT"/>
          <w:color w:val="000000"/>
          <w:kern w:val="0"/>
          <w:sz w:val="24"/>
          <w:szCs w:val="24"/>
        </w:rPr>
        <w:t>4</w:t>
      </w:r>
    </w:p>
    <w:p w14:paraId="013C49C9" w14:textId="77777777" w:rsidR="00D82B0D" w:rsidRDefault="00D82B0D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14:paraId="4CDD45F9" w14:textId="7E9DA7D3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Five-Year CCMR TSIA 2 Progress Measure</w:t>
      </w:r>
    </w:p>
    <w:p w14:paraId="5FD23586" w14:textId="77777777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Increase the number of students meeting TSI criteria in both reading and math from</w:t>
      </w:r>
    </w:p>
    <w:p w14:paraId="1E5C4E3E" w14:textId="40370706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kern w:val="0"/>
          <w:sz w:val="24"/>
          <w:szCs w:val="24"/>
        </w:rPr>
        <w:t>1</w:t>
      </w:r>
      <w:r w:rsidR="00D82B0D">
        <w:rPr>
          <w:rFonts w:ascii="ArialMT" w:hAnsi="ArialMT" w:cs="ArialMT"/>
          <w:color w:val="000000"/>
          <w:kern w:val="0"/>
          <w:sz w:val="24"/>
          <w:szCs w:val="24"/>
        </w:rPr>
        <w:t>6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%</w:t>
      </w:r>
      <w:proofErr w:type="gramEnd"/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to 2</w:t>
      </w:r>
      <w:r w:rsidR="00D82B0D">
        <w:rPr>
          <w:rFonts w:ascii="ArialMT" w:hAnsi="ArialMT" w:cs="ArialMT"/>
          <w:color w:val="000000"/>
          <w:kern w:val="0"/>
          <w:sz w:val="24"/>
          <w:szCs w:val="24"/>
        </w:rPr>
        <w:t>5</w:t>
      </w:r>
      <w:r>
        <w:rPr>
          <w:rFonts w:ascii="ArialMT" w:hAnsi="ArialMT" w:cs="ArialMT"/>
          <w:color w:val="000000"/>
          <w:kern w:val="0"/>
          <w:sz w:val="24"/>
          <w:szCs w:val="24"/>
        </w:rPr>
        <w:t>% by August 2027</w:t>
      </w:r>
    </w:p>
    <w:p w14:paraId="16D4A5B7" w14:textId="77777777" w:rsidR="00D82B0D" w:rsidRDefault="00D82B0D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14:paraId="56325DF7" w14:textId="72CF53F4" w:rsidR="009E3AD3" w:rsidRDefault="00D82B0D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Five</w:t>
      </w:r>
      <w:r w:rsidR="009E3AD3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Year CCMR Industry Certification Goal:</w:t>
      </w:r>
    </w:p>
    <w:p w14:paraId="654BA478" w14:textId="77777777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Increase the percentage of students successfully completing an industry certification</w:t>
      </w:r>
    </w:p>
    <w:p w14:paraId="21F18456" w14:textId="10A5B49F" w:rsidR="009E3AD3" w:rsidRDefault="009E3AD3" w:rsidP="009E3A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from 0% to </w:t>
      </w:r>
      <w:r w:rsidR="00D82B0D">
        <w:rPr>
          <w:rFonts w:ascii="ArialMT" w:hAnsi="ArialMT" w:cs="ArialMT"/>
          <w:color w:val="000000"/>
          <w:kern w:val="0"/>
          <w:sz w:val="24"/>
          <w:szCs w:val="24"/>
        </w:rPr>
        <w:t>65</w:t>
      </w:r>
      <w:r>
        <w:rPr>
          <w:rFonts w:ascii="ArialMT" w:hAnsi="ArialMT" w:cs="ArialMT"/>
          <w:color w:val="000000"/>
          <w:kern w:val="0"/>
          <w:sz w:val="24"/>
          <w:szCs w:val="24"/>
        </w:rPr>
        <w:t>% by August 2032.</w:t>
      </w:r>
    </w:p>
    <w:p w14:paraId="160A645B" w14:textId="77777777" w:rsidR="00D82B0D" w:rsidRDefault="00D82B0D" w:rsidP="009E3A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sectPr w:rsidR="00D8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D3"/>
    <w:rsid w:val="001E1BB4"/>
    <w:rsid w:val="002A7A92"/>
    <w:rsid w:val="004C147E"/>
    <w:rsid w:val="00525160"/>
    <w:rsid w:val="006269BF"/>
    <w:rsid w:val="009A3A9E"/>
    <w:rsid w:val="009E3AD3"/>
    <w:rsid w:val="00B1219A"/>
    <w:rsid w:val="00CC78E9"/>
    <w:rsid w:val="00CE55FA"/>
    <w:rsid w:val="00D70484"/>
    <w:rsid w:val="00D82B0D"/>
    <w:rsid w:val="00DB3C6D"/>
    <w:rsid w:val="00DD270B"/>
    <w:rsid w:val="00DF3177"/>
    <w:rsid w:val="00E934F9"/>
    <w:rsid w:val="00F8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586D2"/>
  <w15:chartTrackingRefBased/>
  <w15:docId w15:val="{EBBCC377-731F-49BA-B247-7B02F409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A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A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A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A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A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A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A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A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A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A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A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2701</Characters>
  <Application>Microsoft Office Word</Application>
  <DocSecurity>0</DocSecurity>
  <Lines>80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Constantine</dc:creator>
  <cp:keywords/>
  <dc:description/>
  <cp:lastModifiedBy>Charmaine Constantine</cp:lastModifiedBy>
  <cp:revision>2</cp:revision>
  <dcterms:created xsi:type="dcterms:W3CDTF">2026-03-24T09:58:00Z</dcterms:created>
  <dcterms:modified xsi:type="dcterms:W3CDTF">2026-03-24T09:58:00Z</dcterms:modified>
</cp:coreProperties>
</file>